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  <w:jc w:val="center"/>
      </w:pPr>
      <w:r>
        <w:t>牧马人文档 G2｜DOCX 导入样例</w:t>
      </w:r>
    </w:p>
    <w:p>
      <w:pPr>
        <w:spacing w:after="100"/>
        <w:jc w:val="center"/>
      </w:pPr>
      <w:r>
        <w:rPr>
          <w:b/>
        </w:rPr>
        <w:t>唯一标记：MRDOC-G2-DOCX-20260806-ALPHA</w:t>
      </w:r>
    </w:p>
    <w:p>
      <w:pPr>
        <w:pStyle w:val="Heading1"/>
      </w:pPr>
      <w:r>
        <w:t>一、这份样例测试什么</w:t>
      </w:r>
    </w:p>
    <w:p>
      <w:r>
        <w:t>测试标题层级、连续正文、加粗文字、项目符号、表格与图片进入牧马人文档后的基本可读性。</w:t>
      </w:r>
    </w:p>
    <w:p>
      <w:r>
        <w:rPr>
          <w:b/>
        </w:rPr>
        <w:t>判断口径：</w:t>
      </w:r>
      <w:r>
        <w:t>不要求完全复刻 Word 原版式，只要求内容结构清楚、文字不丢失、顺序合理。</w:t>
      </w:r>
    </w:p>
    <w:p>
      <w:pPr>
        <w:pStyle w:val="Heading1"/>
      </w:pPr>
      <w:r>
        <w:t>二、三条内容</w:t>
      </w:r>
    </w:p>
    <w:p>
      <w:pPr>
        <w:pStyle w:val="ListBullet"/>
        <w:spacing w:after="0"/>
      </w:pPr>
      <w:r>
        <w:t>第一条：长文应该能够连续阅读。</w:t>
      </w:r>
    </w:p>
    <w:p>
      <w:pPr>
        <w:pStyle w:val="ListBullet"/>
        <w:spacing w:after="0"/>
      </w:pPr>
      <w:r>
        <w:t>第二条：标题应当帮助生成目录或场景结构。</w:t>
      </w:r>
    </w:p>
    <w:p>
      <w:pPr>
        <w:pStyle w:val="ListBullet"/>
        <w:spacing w:after="0"/>
      </w:pPr>
      <w:r>
        <w:t>第三条：图片与表格即使重新排版，也不应完全消失。</w:t>
      </w:r>
    </w:p>
    <w:p>
      <w:pPr>
        <w:pStyle w:val="Heading1"/>
      </w:pPr>
      <w:r>
        <w:t>三、测试表格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  <w:vAlign w:val="center"/>
          </w:tcPr>
          <w:p>
            <w:r>
              <w:t>项目</w:t>
            </w:r>
          </w:p>
        </w:tc>
        <w:tc>
          <w:tcPr>
            <w:tcW w:type="dxa" w:w="3400"/>
            <w:vAlign w:val="center"/>
          </w:tcPr>
          <w:p>
            <w:r>
              <w:t>样例内容</w:t>
            </w:r>
          </w:p>
        </w:tc>
        <w:tc>
          <w:tcPr>
            <w:tcW w:type="dxa" w:w="3400"/>
            <w:vAlign w:val="center"/>
          </w:tcPr>
          <w:p>
            <w:r>
              <w:t>导入后观察</w:t>
            </w:r>
          </w:p>
        </w:tc>
      </w:tr>
      <w:tr>
        <w:tc>
          <w:tcPr>
            <w:tcW w:type="dxa" w:w="3400"/>
          </w:tcPr>
          <w:p>
            <w:r>
              <w:t>标题</w:t>
            </w:r>
          </w:p>
        </w:tc>
        <w:tc>
          <w:tcPr>
            <w:tcW w:type="dxa" w:w="3400"/>
          </w:tcPr>
          <w:p>
            <w:r>
              <w:t>一级标题与二级标题</w:t>
            </w:r>
          </w:p>
        </w:tc>
        <w:tc>
          <w:tcPr>
            <w:tcW w:type="dxa" w:w="3400"/>
          </w:tcPr>
          <w:p>
            <w:r>
              <w:t>是否形成清楚层级</w:t>
            </w:r>
          </w:p>
        </w:tc>
      </w:tr>
      <w:tr>
        <w:tc>
          <w:tcPr>
            <w:tcW w:type="dxa" w:w="3400"/>
          </w:tcPr>
          <w:p>
            <w:r>
              <w:t>正文</w:t>
            </w:r>
          </w:p>
        </w:tc>
        <w:tc>
          <w:tcPr>
            <w:tcW w:type="dxa" w:w="3400"/>
          </w:tcPr>
          <w:p>
            <w:r>
              <w:t>中文段落与加粗文字</w:t>
            </w:r>
          </w:p>
        </w:tc>
        <w:tc>
          <w:tcPr>
            <w:tcW w:type="dxa" w:w="3400"/>
          </w:tcPr>
          <w:p>
            <w:r>
              <w:t>是否完整保留</w:t>
            </w:r>
          </w:p>
        </w:tc>
      </w:tr>
      <w:tr>
        <w:tc>
          <w:tcPr>
            <w:tcW w:type="dxa" w:w="3400"/>
          </w:tcPr>
          <w:p>
            <w:r>
              <w:t>媒体</w:t>
            </w:r>
          </w:p>
        </w:tc>
        <w:tc>
          <w:tcPr>
            <w:tcW w:type="dxa" w:w="3400"/>
          </w:tcPr>
          <w:p>
            <w:r>
              <w:t>表格与图片</w:t>
            </w:r>
          </w:p>
        </w:tc>
        <w:tc>
          <w:tcPr>
            <w:tcW w:type="dxa" w:w="3400"/>
          </w:tcPr>
          <w:p>
            <w:r>
              <w:t>是否可见或合理转换</w:t>
            </w:r>
          </w:p>
        </w:tc>
      </w:tr>
    </w:tbl>
    <w:p>
      <w:pPr>
        <w:pStyle w:val="Heading1"/>
      </w:pPr>
      <w:r>
        <w:t>四、样例图片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23360" cy="22631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2-replacement-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22631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/>
        <w:jc w:val="center"/>
      </w:pPr>
      <w:r>
        <w:rPr>
          <w:b/>
        </w:rPr>
        <w:t>结束标记：MRDOC-G2-DOCX-END-20260806</w:t>
      </w:r>
    </w:p>
    <w:sectPr w:rsidR="00FC693F" w:rsidRPr="0006063C" w:rsidSect="00034616">
      <w:pgSz w:w="12240" w:h="15840"/>
      <w:pgMar w:top="794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SC" w:hAnsi="Noto Sans CJK SC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/>
      <w:b/>
      <w:bCs/>
      <w:color w:val="365F91" w:themeColor="accent1" w:themeShade="BF"/>
      <w:sz w:val="2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SC" w:hAnsi="Noto Sans CJK SC"/>
      <w:color w:val="17365D" w:themeColor="text2" w:themeShade="BF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